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hint="eastAsia" w:ascii="黑体" w:eastAsia="黑体"/>
          <w:sz w:val="72"/>
          <w:szCs w:val="72"/>
          <w:lang w:val="en-US" w:eastAsia="zh-CN"/>
        </w:rPr>
      </w:pPr>
      <w:r>
        <w:rPr>
          <w:rFonts w:hint="eastAsia" w:ascii="黑体" w:eastAsia="黑体"/>
          <w:sz w:val="72"/>
          <w:szCs w:val="72"/>
          <w:lang w:val="en-US" w:eastAsia="zh-CN"/>
        </w:rPr>
        <w:t>北京市怀柔区监察委员会</w:t>
      </w: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p>
    <w:p>
      <w:pPr>
        <w:jc w:val="center"/>
        <w:rPr>
          <w:rFonts w:ascii="黑体" w:eastAsia="黑体"/>
          <w:sz w:val="52"/>
          <w:szCs w:val="52"/>
        </w:rPr>
      </w:pPr>
    </w:p>
    <w:p>
      <w:pPr>
        <w:jc w:val="both"/>
        <w:rPr>
          <w:rFonts w:ascii="黑体" w:eastAsia="黑体"/>
          <w:sz w:val="52"/>
          <w:szCs w:val="52"/>
        </w:rPr>
      </w:pPr>
    </w:p>
    <w:p>
      <w:pPr>
        <w:pStyle w:val="2"/>
        <w:rPr>
          <w:rFonts w:ascii="黑体" w:eastAsia="黑体"/>
          <w:sz w:val="52"/>
          <w:szCs w:val="52"/>
        </w:rPr>
      </w:pPr>
    </w:p>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详见</w:t>
      </w:r>
      <w:r>
        <w:rPr>
          <w:rFonts w:hint="eastAsia" w:ascii="仿宋_GB2312" w:eastAsia="仿宋_GB2312"/>
          <w:b w:val="0"/>
          <w:bCs w:val="0"/>
          <w:sz w:val="28"/>
          <w:szCs w:val="28"/>
          <w:lang w:eastAsia="zh-CN"/>
        </w:rPr>
        <w:t>附件</w:t>
      </w:r>
      <w:r>
        <w:rPr>
          <w:rFonts w:hint="eastAsia" w:ascii="仿宋_GB2312" w:eastAsia="仿宋_GB2312"/>
          <w:b w:val="0"/>
          <w:bCs w:val="0"/>
          <w:sz w:val="28"/>
          <w:szCs w:val="28"/>
          <w:lang w:val="en-US" w:eastAsia="zh-CN"/>
        </w:rPr>
        <w:t>1</w:t>
      </w:r>
      <w:r>
        <w:rPr>
          <w:rFonts w:hint="eastAsia" w:ascii="仿宋_GB2312" w:eastAsia="仿宋_GB2312"/>
          <w:b w:val="0"/>
          <w:bCs w:val="0"/>
          <w:sz w:val="28"/>
          <w:szCs w:val="28"/>
        </w:rPr>
        <w:t>。</w:t>
      </w:r>
    </w:p>
    <w:p>
      <w:pPr>
        <w:tabs>
          <w:tab w:val="center" w:pos="6979"/>
        </w:tabs>
        <w:spacing w:before="156" w:beforeLines="50" w:after="156" w:afterLines="50"/>
        <w:jc w:val="center"/>
        <w:rPr>
          <w:rFonts w:hint="eastAsia" w:ascii="宋体" w:hAnsi="宋体"/>
          <w:b/>
          <w:spacing w:val="40"/>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before="156" w:beforeLines="50" w:after="156" w:afterLines="50"/>
        <w:ind w:firstLine="560" w:firstLineChars="200"/>
        <w:jc w:val="left"/>
        <w:rPr>
          <w:rFonts w:hint="eastAsia" w:ascii="黑体" w:eastAsia="黑体"/>
          <w:b/>
          <w:sz w:val="28"/>
          <w:szCs w:val="28"/>
        </w:rPr>
      </w:pPr>
      <w:r>
        <w:rPr>
          <w:rFonts w:hint="eastAsia" w:ascii="黑体" w:eastAsia="黑体"/>
          <w:b/>
          <w:sz w:val="28"/>
          <w:szCs w:val="28"/>
        </w:rPr>
        <w:t>一、部门基本情况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一）北京市怀柔区监察委员会由北京市怀柔区人民代表大会产生，是行使国家监察职能的专责机关。中共北京市怀柔区纪律检查委员会、北京市怀柔区监察委员会合署办公，履行纪检、监察两项职责，实行一套工作机构、两个机关名称。</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（二）单位地址：北京市怀柔区北大街57号</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（三）主要职能职责：</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监察委员会履行以下职能：维护宪法和法律；依法监察管辖范围内公职人员行使公权力情况，调查职务违法和职务犯罪；开展党风廉政建设和反腐败工作。</w:t>
      </w:r>
    </w:p>
    <w:p>
      <w:pPr>
        <w:tabs>
          <w:tab w:val="center" w:pos="6979"/>
        </w:tabs>
        <w:spacing w:line="580" w:lineRule="exact"/>
        <w:rPr>
          <w:rFonts w:hint="eastAsia" w:ascii="仿宋_GB2312" w:eastAsia="仿宋_GB2312"/>
          <w:sz w:val="28"/>
          <w:szCs w:val="28"/>
        </w:rPr>
      </w:pPr>
      <w:r>
        <w:rPr>
          <w:rFonts w:hint="eastAsia" w:ascii="仿宋_GB2312" w:eastAsia="仿宋_GB2312"/>
          <w:sz w:val="28"/>
          <w:szCs w:val="28"/>
        </w:rPr>
        <w:t>监察委员会履行监督、调查、处置职责。一是对公职人员依法履职、秉公用权、廉洁从政从业及道德操守情况进行监督检查。二是对涉嫌贪污贿赂、滥用职权、玩忽职守、权力寻租、利益输送、徇私舞弊以及浪费国家资财等职务违法和职务犯罪进行调查。三是依据相关法律对违法公职人员作出处分决定；对在行使职权中存在的问题提出监察建议；对履行职责不力，失职失责的领导人员进行问责；对涉嫌职务犯罪的，将调查结果移送检察机关依法提起公诉。</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（四）部室构成</w:t>
      </w:r>
    </w:p>
    <w:p>
      <w:pPr>
        <w:tabs>
          <w:tab w:val="center" w:pos="6979"/>
        </w:tabs>
        <w:spacing w:line="580" w:lineRule="exact"/>
        <w:ind w:firstLine="560" w:firstLineChars="200"/>
        <w:rPr>
          <w:rFonts w:hint="eastAsia" w:ascii="仿宋_GB2312" w:eastAsia="仿宋_GB2312"/>
          <w:b/>
          <w:sz w:val="32"/>
          <w:szCs w:val="32"/>
        </w:rPr>
      </w:pPr>
      <w:r>
        <w:rPr>
          <w:rFonts w:hint="eastAsia" w:ascii="仿宋_GB2312" w:eastAsia="仿宋_GB2312"/>
          <w:sz w:val="28"/>
          <w:szCs w:val="28"/>
        </w:rPr>
        <w:t xml:space="preserve">我单位现有22个部室，9个派驻纪检监察组。其中部室为：办公室（研究室）、组织部、宣传部、党风政风监督室、信访室、案件监督管理室、案件审理室、纪检监察干部监督室、机关党委、科学城纪检监察工委、第一至第十二纪检监察室。9个派驻纪检监察组为：第一至第九综合派驻纪检监察组。  </w:t>
      </w:r>
      <w:r>
        <w:rPr>
          <w:rFonts w:hint="eastAsia" w:ascii="仿宋_GB2312" w:eastAsia="仿宋_GB2312"/>
          <w:b/>
          <w:sz w:val="32"/>
          <w:szCs w:val="32"/>
        </w:rPr>
        <w:t xml:space="preserve"> </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本部门决算只包括本级决算，无下属单位。</w:t>
      </w:r>
    </w:p>
    <w:p>
      <w:pPr>
        <w:tabs>
          <w:tab w:val="center" w:pos="6979"/>
        </w:tabs>
        <w:spacing w:line="580" w:lineRule="exact"/>
        <w:ind w:firstLine="560" w:firstLineChars="200"/>
        <w:rPr>
          <w:rFonts w:hint="eastAsia" w:ascii="黑体" w:eastAsia="黑体"/>
          <w:b/>
          <w:sz w:val="28"/>
          <w:szCs w:val="28"/>
        </w:rPr>
      </w:pP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6551.24</w:t>
      </w:r>
      <w:r>
        <w:rPr>
          <w:rFonts w:hint="eastAsia" w:ascii="仿宋_GB2312" w:eastAsia="仿宋_GB2312"/>
          <w:sz w:val="28"/>
          <w:szCs w:val="28"/>
        </w:rPr>
        <w:t>万元，比上年增加798.04万元，增长13.87%。</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6062.42</w:t>
      </w:r>
      <w:r>
        <w:rPr>
          <w:rFonts w:hint="eastAsia" w:ascii="仿宋_GB2312" w:eastAsia="仿宋_GB2312"/>
          <w:sz w:val="28"/>
          <w:szCs w:val="28"/>
        </w:rPr>
        <w:t>万元，比上年增加1115.72万元，增长22.55%。</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6062.42</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6062.42</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spacing w:line="560" w:lineRule="exact"/>
        <w:ind w:firstLine="640"/>
        <w:rPr>
          <w:rFonts w:hint="eastAsia" w:ascii="仿宋_GB2312" w:eastAsia="仿宋_GB2312" w:cs="Droid Sans"/>
          <w:color w:val="000000"/>
          <w:sz w:val="32"/>
          <w:szCs w:val="32"/>
          <w:highlight w:val="none"/>
          <w:lang w:eastAsia="zh-CN"/>
        </w:rPr>
      </w:pPr>
    </w:p>
    <w:p>
      <w:pPr>
        <w:pStyle w:val="2"/>
        <w:ind w:firstLine="0"/>
        <w:jc w:val="center"/>
      </w:pPr>
      <w:r>
        <w:rPr>
          <w:rFonts w:hint="eastAsia" w:ascii="仿宋_GB2312" w:eastAsia="仿宋_GB2312"/>
          <w:color w:val="000000"/>
          <w:sz w:val="32"/>
          <w:szCs w:val="32"/>
          <w:highlight w:val="none"/>
          <w:lang w:val="en-US" w:eastAsia="zh-CN"/>
        </w:rPr>
        <w:t>图1：收入预算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spacing w:line="560" w:lineRule="exact"/>
        <w:ind w:firstLine="640"/>
        <w:rPr>
          <w:rFonts w:hint="eastAsia" w:ascii="仿宋_GB2312" w:eastAsia="仿宋_GB2312" w:cs="Droid Sans"/>
          <w:color w:val="000000"/>
          <w:sz w:val="32"/>
          <w:szCs w:val="32"/>
          <w:highlight w:val="none"/>
          <w:lang w:eastAsia="zh-CN"/>
        </w:rPr>
      </w:pPr>
      <w:r>
        <w:rPr>
          <w:rFonts w:hint="eastAsia" w:ascii="仿宋_GB2312" w:eastAsia="仿宋_GB2312"/>
          <w:sz w:val="28"/>
          <w:szCs w:val="28"/>
        </w:rPr>
        <w:t>2024年度本年支出合计6399.85万元，比上年增加875.51万元，增长15.85%，其中：基本支出4666.10万元，占支出合计的72.91%；项目支出1733.75万元，占支出合计的27.09%;上缴上级支出0万元，占支出合计的0.00%；经营支出0万元，占支出合计的0.00%；对附属单位补助支出0万元，占支出合计的0.00%。</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4"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6551.24</w:t>
      </w:r>
      <w:r>
        <w:rPr>
          <w:rFonts w:hint="eastAsia" w:ascii="仿宋_GB2312" w:eastAsia="仿宋_GB2312"/>
          <w:sz w:val="28"/>
          <w:szCs w:val="28"/>
        </w:rPr>
        <w:t>万元，比上年增加798.04万元，增长13.87%。主要原因：1.2024年因调入和新录用工作人员，人员经费（工资、社保、医疗、住房公积金）增加。2.因调入和新录用工作人员，公用经费增加。</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2024年度一般公共预算财政拨款支出</w:t>
      </w:r>
      <w:r>
        <w:rPr>
          <w:rFonts w:hint="eastAsia" w:ascii="仿宋_GB2312" w:eastAsia="仿宋_GB2312"/>
          <w:sz w:val="28"/>
          <w:szCs w:val="28"/>
          <w:lang w:val="en-US" w:eastAsia="zh-CN"/>
        </w:rPr>
        <w:t>6399.85</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主要用于以下方面（按大类）：一般公共服务支出5806.27万元，占本年财政拨款支出90.73%；社会保障和就业支出593.58万元，占本年财政拨款支出9.27%。</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1、“一般公共服务支出”（类）2024年度年初预算</w:t>
      </w:r>
      <w:r>
        <w:rPr>
          <w:rFonts w:hint="eastAsia" w:ascii="仿宋_GB2312" w:eastAsia="仿宋_GB2312"/>
          <w:sz w:val="28"/>
          <w:szCs w:val="28"/>
          <w:lang w:val="en-US" w:eastAsia="zh-CN"/>
        </w:rPr>
        <w:t>4539.97</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2024年度决算5806.27万元，完成年初预算的</w:t>
      </w:r>
      <w:r>
        <w:rPr>
          <w:rFonts w:hint="eastAsia" w:ascii="仿宋_GB2312" w:eastAsia="仿宋_GB2312"/>
          <w:sz w:val="28"/>
          <w:szCs w:val="28"/>
          <w:lang w:val="en-US" w:eastAsia="zh-CN"/>
        </w:rPr>
        <w:t>127.89</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“纪检监察事务”（款，下同）</w:t>
      </w:r>
      <w:r>
        <w:rPr>
          <w:rFonts w:hint="eastAsia" w:ascii="仿宋_GB2312" w:eastAsia="仿宋_GB2312"/>
          <w:sz w:val="28"/>
          <w:szCs w:val="28"/>
          <w:lang w:val="en-US" w:eastAsia="zh-CN"/>
        </w:rPr>
        <w:t>,2024年度年初预算4539.97万元，</w:t>
      </w:r>
      <w:r>
        <w:rPr>
          <w:rFonts w:hint="eastAsia" w:ascii="仿宋_GB2312" w:eastAsia="仿宋_GB2312"/>
          <w:sz w:val="28"/>
          <w:szCs w:val="28"/>
        </w:rPr>
        <w:t>2024年度决算5803.25万元，完成年初预算的127.8</w:t>
      </w:r>
      <w:r>
        <w:rPr>
          <w:rFonts w:hint="eastAsia" w:ascii="仿宋_GB2312" w:eastAsia="仿宋_GB2312"/>
          <w:sz w:val="28"/>
          <w:szCs w:val="28"/>
          <w:lang w:val="en-US" w:eastAsia="zh-CN"/>
        </w:rPr>
        <w:t>3</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主要原因：1.2024年我单位人员调入和新招录公务员人员经费增加及绩效奖金的发放。2.2024年办理的留置案件增多，留置费用增加。</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“组织事务”2024年度年初预算</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2024年度决算3.02万元。主要原因：该项支出为第一书记费用</w:t>
      </w:r>
      <w:r>
        <w:rPr>
          <w:rFonts w:hint="eastAsia" w:ascii="仿宋_GB2312" w:eastAsia="仿宋_GB2312"/>
          <w:sz w:val="28"/>
          <w:szCs w:val="28"/>
          <w:lang w:eastAsia="zh-CN"/>
        </w:rPr>
        <w:t>，</w:t>
      </w:r>
      <w:r>
        <w:rPr>
          <w:rFonts w:hint="eastAsia" w:ascii="仿宋_GB2312" w:eastAsia="仿宋_GB2312"/>
          <w:sz w:val="28"/>
          <w:szCs w:val="28"/>
        </w:rPr>
        <w:t>是2024年追加的项目预算，不在年初预算。</w:t>
      </w:r>
    </w:p>
    <w:p>
      <w:pPr>
        <w:numPr>
          <w:ilvl w:val="0"/>
          <w:numId w:val="1"/>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“社会保障和就业支出”(类)2024年度年初预算</w:t>
      </w:r>
      <w:r>
        <w:rPr>
          <w:rFonts w:hint="eastAsia" w:ascii="仿宋_GB2312" w:eastAsia="仿宋_GB2312"/>
          <w:sz w:val="28"/>
          <w:szCs w:val="28"/>
          <w:lang w:val="en-US" w:eastAsia="zh-CN"/>
        </w:rPr>
        <w:t>576.31</w:t>
      </w:r>
      <w:r>
        <w:rPr>
          <w:rFonts w:hint="eastAsia" w:ascii="仿宋_GB2312" w:eastAsia="仿宋_GB2312"/>
          <w:sz w:val="28"/>
          <w:szCs w:val="28"/>
        </w:rPr>
        <w:t>万元，2024年度决算</w:t>
      </w:r>
      <w:r>
        <w:rPr>
          <w:rFonts w:hint="eastAsia" w:ascii="仿宋_GB2312" w:eastAsia="仿宋_GB2312"/>
          <w:sz w:val="28"/>
          <w:szCs w:val="28"/>
          <w:lang w:val="en-US" w:eastAsia="zh-CN"/>
        </w:rPr>
        <w:t>593.58</w:t>
      </w:r>
      <w:r>
        <w:rPr>
          <w:rFonts w:hint="eastAsia" w:ascii="仿宋_GB2312" w:eastAsia="仿宋_GB2312"/>
          <w:sz w:val="28"/>
          <w:szCs w:val="28"/>
        </w:rPr>
        <w:t>万元，完成年初预算的</w:t>
      </w:r>
      <w:r>
        <w:rPr>
          <w:rFonts w:hint="eastAsia" w:ascii="仿宋_GB2312" w:eastAsia="仿宋_GB2312"/>
          <w:sz w:val="28"/>
          <w:szCs w:val="28"/>
          <w:lang w:val="en-US" w:eastAsia="zh-CN"/>
        </w:rPr>
        <w:t>103</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spacing w:line="580" w:lineRule="exact"/>
        <w:rPr>
          <w:rFonts w:hint="eastAsia"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“行政事业单位养老支出”（款）2024年度年初预算576.31万元，2024年度决算593.58万元，完成年初预算的</w:t>
      </w:r>
      <w:r>
        <w:rPr>
          <w:rFonts w:hint="eastAsia" w:ascii="仿宋_GB2312" w:eastAsia="仿宋_GB2312"/>
          <w:sz w:val="28"/>
          <w:szCs w:val="28"/>
          <w:lang w:val="en-US" w:eastAsia="zh-CN"/>
        </w:rPr>
        <w:t>103</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主要原因：人员增加，养老保险缴费及职业年金缴费增加。</w:t>
      </w:r>
    </w:p>
    <w:p>
      <w:pPr>
        <w:numPr>
          <w:ilvl w:val="0"/>
          <w:numId w:val="0"/>
        </w:numPr>
        <w:spacing w:line="580" w:lineRule="exact"/>
        <w:ind w:firstLine="560" w:firstLineChars="200"/>
        <w:rPr>
          <w:rFonts w:hint="eastAsia" w:ascii="仿宋_GB2312" w:hAnsi="Times New Roman" w:eastAsia="仿宋_GB2312" w:cs="Times New Roman"/>
          <w:b w:val="0"/>
          <w:bCs w:val="0"/>
          <w:kern w:val="2"/>
          <w:sz w:val="28"/>
          <w:szCs w:val="28"/>
          <w:lang w:val="en-US" w:eastAsia="zh-CN" w:bidi="ar-SA"/>
        </w:rPr>
      </w:pPr>
      <w:r>
        <w:rPr>
          <w:rFonts w:hint="eastAsia" w:ascii="黑体" w:eastAsia="黑体"/>
          <w:b/>
          <w:sz w:val="28"/>
          <w:szCs w:val="28"/>
          <w:lang w:eastAsia="zh-CN"/>
        </w:rPr>
        <w:t>五、</w:t>
      </w:r>
      <w:r>
        <w:rPr>
          <w:rFonts w:hint="eastAsia" w:ascii="黑体" w:eastAsia="黑体"/>
          <w:b/>
          <w:sz w:val="28"/>
          <w:szCs w:val="28"/>
        </w:rPr>
        <w:t>政府性基金预算财政拨款支出决算情况说明</w:t>
      </w:r>
    </w:p>
    <w:p>
      <w:pPr>
        <w:numPr>
          <w:ilvl w:val="0"/>
          <w:numId w:val="0"/>
        </w:numPr>
        <w:spacing w:line="580" w:lineRule="exact"/>
        <w:ind w:firstLine="560" w:firstLineChars="200"/>
        <w:rPr>
          <w:rFonts w:hint="eastAsia" w:ascii="仿宋_GB2312" w:hAnsi="Times New Roman" w:eastAsia="仿宋_GB2312" w:cs="Times New Roman"/>
          <w:b w:val="0"/>
          <w:bCs w:val="0"/>
          <w:kern w:val="2"/>
          <w:sz w:val="28"/>
          <w:szCs w:val="28"/>
          <w:lang w:val="en-US" w:eastAsia="zh-CN" w:bidi="ar-SA"/>
        </w:rPr>
      </w:pPr>
      <w:r>
        <w:rPr>
          <w:rFonts w:hint="eastAsia" w:ascii="仿宋_GB2312" w:hAnsi="Times New Roman" w:eastAsia="仿宋_GB2312" w:cs="Times New Roman"/>
          <w:b w:val="0"/>
          <w:bCs w:val="0"/>
          <w:kern w:val="2"/>
          <w:sz w:val="28"/>
          <w:szCs w:val="28"/>
          <w:lang w:val="en-US" w:eastAsia="zh-CN" w:bidi="ar-SA"/>
        </w:rPr>
        <w:t>本</w:t>
      </w:r>
      <w:r>
        <w:rPr>
          <w:rFonts w:hint="eastAsia" w:ascii="仿宋_GB2312" w:eastAsia="仿宋_GB2312" w:cs="Times New Roman"/>
          <w:b w:val="0"/>
          <w:bCs w:val="0"/>
          <w:kern w:val="2"/>
          <w:sz w:val="28"/>
          <w:szCs w:val="28"/>
          <w:lang w:val="en-US" w:eastAsia="zh-CN" w:bidi="ar-SA"/>
        </w:rPr>
        <w:t>单位</w:t>
      </w:r>
      <w:r>
        <w:rPr>
          <w:rFonts w:hint="eastAsia" w:ascii="仿宋_GB2312" w:hAnsi="Times New Roman" w:eastAsia="仿宋_GB2312" w:cs="Times New Roman"/>
          <w:b w:val="0"/>
          <w:bCs w:val="0"/>
          <w:kern w:val="2"/>
          <w:sz w:val="28"/>
          <w:szCs w:val="28"/>
          <w:lang w:val="en-US" w:eastAsia="zh-CN" w:bidi="ar-SA"/>
        </w:rPr>
        <w:t>无此项支出</w:t>
      </w:r>
    </w:p>
    <w:p>
      <w:pPr>
        <w:pStyle w:val="2"/>
        <w:numPr>
          <w:ilvl w:val="0"/>
          <w:numId w:val="0"/>
        </w:numPr>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2024年度国有资本经营预算财政拨款收入总计</w:t>
      </w:r>
      <w:r>
        <w:rPr>
          <w:rFonts w:hint="eastAsia" w:ascii="仿宋_GB2312" w:eastAsia="仿宋_GB2312"/>
          <w:sz w:val="28"/>
          <w:szCs w:val="28"/>
          <w:lang w:val="en-US" w:eastAsia="zh-CN"/>
        </w:rPr>
        <w:t>0</w:t>
      </w:r>
      <w:r>
        <w:rPr>
          <w:rFonts w:hint="eastAsia" w:ascii="仿宋_GB2312" w:eastAsia="仿宋_GB2312"/>
          <w:sz w:val="28"/>
          <w:szCs w:val="28"/>
        </w:rPr>
        <w:t>万元，国有资本经营预算财政拨款支出总计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4666.1</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pStyle w:val="2"/>
        <w:rPr>
          <w:rFonts w:ascii="仿宋_GB2312" w:eastAsia="仿宋_GB2312"/>
          <w:sz w:val="28"/>
          <w:szCs w:val="28"/>
        </w:rPr>
      </w:pPr>
    </w:p>
    <w:p>
      <w:pPr>
        <w:rPr>
          <w:rFonts w:ascii="仿宋_GB2312" w:eastAsia="仿宋_GB2312"/>
          <w:sz w:val="28"/>
          <w:szCs w:val="28"/>
        </w:rPr>
      </w:pPr>
    </w:p>
    <w:p>
      <w:pPr>
        <w:autoSpaceDE w:val="0"/>
        <w:autoSpaceDN w:val="0"/>
        <w:adjustRightInd w:val="0"/>
        <w:spacing w:line="580" w:lineRule="exact"/>
        <w:jc w:val="both"/>
        <w:rPr>
          <w:rFonts w:ascii="仿宋_GB2312" w:eastAsia="仿宋_GB2312"/>
          <w:b/>
          <w:sz w:val="32"/>
          <w:szCs w:val="32"/>
        </w:rPr>
      </w:pP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94.06</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33.95</w:t>
      </w:r>
      <w:r>
        <w:rPr>
          <w:rFonts w:hint="eastAsia" w:ascii="仿宋_GB2312" w:eastAsia="仿宋_GB2312"/>
          <w:sz w:val="28"/>
          <w:szCs w:val="28"/>
        </w:rPr>
        <w:t>万元增加</w:t>
      </w:r>
      <w:r>
        <w:rPr>
          <w:rFonts w:ascii="仿宋_GB2312" w:eastAsia="仿宋_GB2312"/>
          <w:sz w:val="28"/>
          <w:szCs w:val="28"/>
        </w:rPr>
        <w:t>60.1</w:t>
      </w:r>
      <w:r>
        <w:rPr>
          <w:rFonts w:hint="eastAsia" w:ascii="仿宋_GB2312" w:eastAsia="仿宋_GB2312"/>
          <w:sz w:val="28"/>
          <w:szCs w:val="28"/>
          <w:lang w:val="en-US" w:eastAsia="zh-CN"/>
        </w:rPr>
        <w:t>1</w:t>
      </w:r>
      <w:r>
        <w:rPr>
          <w:rFonts w:hint="eastAsia" w:ascii="仿宋_GB2312" w:eastAsia="仿宋_GB2312"/>
          <w:sz w:val="28"/>
          <w:szCs w:val="28"/>
        </w:rPr>
        <w:t>万元。其中：</w:t>
      </w:r>
    </w:p>
    <w:p>
      <w:pPr>
        <w:numPr>
          <w:ilvl w:val="0"/>
          <w:numId w:val="2"/>
        </w:numPr>
        <w:spacing w:line="560" w:lineRule="exact"/>
        <w:ind w:firstLine="600"/>
        <w:rPr>
          <w:rFonts w:hint="eastAsia" w:ascii="仿宋_GB2312" w:eastAsia="仿宋_GB2312"/>
          <w:sz w:val="28"/>
          <w:szCs w:val="28"/>
        </w:rPr>
      </w:pPr>
      <w:r>
        <w:rPr>
          <w:rFonts w:hint="eastAsia" w:ascii="仿宋_GB2312" w:eastAsia="仿宋_GB2312"/>
          <w:sz w:val="28"/>
          <w:szCs w:val="28"/>
        </w:rPr>
        <w:t>因公出国（境）费用。2024年度决算数0万元，与2024年年初预算数一致。</w:t>
      </w:r>
    </w:p>
    <w:p>
      <w:pPr>
        <w:numPr>
          <w:ilvl w:val="0"/>
          <w:numId w:val="0"/>
        </w:num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1.85</w:t>
      </w:r>
      <w:r>
        <w:rPr>
          <w:rFonts w:hint="eastAsia" w:ascii="仿宋_GB2312" w:eastAsia="仿宋_GB2312"/>
          <w:sz w:val="28"/>
          <w:szCs w:val="28"/>
        </w:rPr>
        <w:t>万元减少</w:t>
      </w:r>
      <w:r>
        <w:rPr>
          <w:rFonts w:ascii="仿宋_GB2312" w:eastAsia="仿宋_GB2312"/>
          <w:sz w:val="28"/>
          <w:szCs w:val="28"/>
        </w:rPr>
        <w:t>1.85</w:t>
      </w:r>
      <w:r>
        <w:rPr>
          <w:rFonts w:hint="eastAsia" w:ascii="仿宋_GB2312" w:eastAsia="仿宋_GB2312"/>
          <w:sz w:val="28"/>
          <w:szCs w:val="28"/>
        </w:rPr>
        <w:t>万元。主要原因：2024年我单位未进行公务接待。</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94.06</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32.1</w:t>
      </w:r>
      <w:r>
        <w:rPr>
          <w:rFonts w:hint="eastAsia" w:ascii="仿宋_GB2312" w:eastAsia="仿宋_GB2312"/>
          <w:sz w:val="28"/>
          <w:szCs w:val="28"/>
        </w:rPr>
        <w:t>万元增加</w:t>
      </w:r>
      <w:r>
        <w:rPr>
          <w:rFonts w:ascii="仿宋_GB2312" w:eastAsia="仿宋_GB2312"/>
          <w:sz w:val="28"/>
          <w:szCs w:val="28"/>
        </w:rPr>
        <w:t>61.96</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61.96</w:t>
      </w:r>
      <w:r>
        <w:rPr>
          <w:rFonts w:hint="eastAsia" w:ascii="仿宋_GB2312" w:eastAsia="仿宋_GB2312"/>
          <w:sz w:val="28"/>
          <w:szCs w:val="28"/>
        </w:rPr>
        <w:t>万元，主要原因：2024年公务用车购置费是年内单独申请的公务用车报废更新费用，年初预算未安排，202</w:t>
      </w:r>
      <w:r>
        <w:rPr>
          <w:rFonts w:hint="eastAsia" w:ascii="仿宋_GB2312" w:eastAsia="仿宋_GB2312"/>
          <w:sz w:val="28"/>
          <w:szCs w:val="28"/>
          <w:lang w:val="en-US" w:eastAsia="zh-CN"/>
        </w:rPr>
        <w:t>4</w:t>
      </w:r>
      <w:r>
        <w:rPr>
          <w:rFonts w:hint="eastAsia" w:ascii="仿宋_GB2312" w:eastAsia="仿宋_GB2312"/>
          <w:sz w:val="28"/>
          <w:szCs w:val="28"/>
        </w:rPr>
        <w:t>年度更新</w:t>
      </w:r>
      <w:r>
        <w:rPr>
          <w:rFonts w:hint="eastAsia" w:ascii="仿宋_GB2312" w:eastAsia="仿宋_GB2312"/>
          <w:sz w:val="28"/>
          <w:szCs w:val="28"/>
          <w:lang w:eastAsia="zh-CN"/>
        </w:rPr>
        <w:t>4</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32.1</w:t>
      </w:r>
      <w:r>
        <w:rPr>
          <w:rFonts w:hint="eastAsia" w:ascii="仿宋_GB2312" w:eastAsia="仿宋_GB2312"/>
          <w:sz w:val="28"/>
          <w:szCs w:val="28"/>
        </w:rPr>
        <w:t>万元，</w:t>
      </w:r>
      <w:r>
        <w:rPr>
          <w:rFonts w:hint="eastAsia" w:ascii="仿宋_GB2312" w:eastAsia="仿宋_GB2312"/>
          <w:sz w:val="28"/>
          <w:szCs w:val="28"/>
          <w:lang w:eastAsia="zh-CN"/>
        </w:rPr>
        <w:t>与</w:t>
      </w:r>
      <w:r>
        <w:rPr>
          <w:rFonts w:hint="eastAsia" w:ascii="仿宋_GB2312" w:eastAsia="仿宋_GB2312"/>
          <w:sz w:val="28"/>
          <w:szCs w:val="28"/>
          <w:lang w:val="en-US" w:eastAsia="zh-CN"/>
        </w:rPr>
        <w:t>2024年年初预算数一致</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11</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452.74</w:t>
      </w:r>
      <w:r>
        <w:rPr>
          <w:rFonts w:hint="eastAsia" w:ascii="仿宋_GB2312" w:eastAsia="仿宋_GB2312"/>
          <w:sz w:val="28"/>
          <w:szCs w:val="28"/>
        </w:rPr>
        <w:t>万元，比上年增加51.86万元，增加原因：1.因物价上涨，公用费用支出增加；2.2024年新招录及人员调动增加，公用经费支出增加。</w:t>
      </w:r>
      <w:bookmarkStart w:id="0" w:name="_GoBack"/>
      <w:bookmarkEnd w:id="0"/>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410.34</w:t>
      </w:r>
      <w:r>
        <w:rPr>
          <w:rFonts w:hint="eastAsia" w:ascii="仿宋_GB2312" w:eastAsia="仿宋_GB2312"/>
          <w:sz w:val="28"/>
          <w:szCs w:val="28"/>
        </w:rPr>
        <w:t>万元，其中：政府采购货物支出</w:t>
      </w:r>
      <w:r>
        <w:rPr>
          <w:rFonts w:ascii="仿宋_GB2312" w:eastAsia="仿宋_GB2312"/>
          <w:sz w:val="28"/>
          <w:szCs w:val="28"/>
        </w:rPr>
        <w:t>157.75</w:t>
      </w:r>
      <w:r>
        <w:rPr>
          <w:rFonts w:hint="eastAsia" w:ascii="仿宋_GB2312" w:eastAsia="仿宋_GB2312"/>
          <w:sz w:val="28"/>
          <w:szCs w:val="28"/>
        </w:rPr>
        <w:t>万元，政府采购工程支出</w:t>
      </w:r>
      <w:r>
        <w:rPr>
          <w:rFonts w:ascii="仿宋_GB2312" w:eastAsia="仿宋_GB2312"/>
          <w:sz w:val="28"/>
          <w:szCs w:val="28"/>
        </w:rPr>
        <w:t>197.15</w:t>
      </w:r>
      <w:r>
        <w:rPr>
          <w:rFonts w:hint="eastAsia" w:ascii="仿宋_GB2312" w:eastAsia="仿宋_GB2312"/>
          <w:sz w:val="28"/>
          <w:szCs w:val="28"/>
        </w:rPr>
        <w:t>万元，政府采购服务支出</w:t>
      </w:r>
      <w:r>
        <w:rPr>
          <w:rFonts w:ascii="仿宋_GB2312" w:eastAsia="仿宋_GB2312"/>
          <w:sz w:val="28"/>
          <w:szCs w:val="28"/>
        </w:rPr>
        <w:t>55.44</w:t>
      </w:r>
      <w:r>
        <w:rPr>
          <w:rFonts w:hint="eastAsia" w:ascii="仿宋_GB2312" w:eastAsia="仿宋_GB2312"/>
          <w:sz w:val="28"/>
          <w:szCs w:val="28"/>
        </w:rPr>
        <w:t>万元。授予中小企业合同金额</w:t>
      </w:r>
      <w:r>
        <w:rPr>
          <w:rFonts w:ascii="仿宋_GB2312" w:eastAsia="仿宋_GB2312"/>
          <w:sz w:val="28"/>
          <w:szCs w:val="28"/>
        </w:rPr>
        <w:t>0</w:t>
      </w:r>
      <w:r>
        <w:rPr>
          <w:rFonts w:hint="eastAsia" w:ascii="仿宋_GB2312" w:eastAsia="仿宋_GB2312"/>
          <w:sz w:val="28"/>
          <w:szCs w:val="28"/>
        </w:rPr>
        <w:t>万元，占政府采购支出总额的</w:t>
      </w:r>
      <w:r>
        <w:rPr>
          <w:rFonts w:hint="eastAsia" w:ascii="仿宋_GB2312" w:eastAsia="仿宋_GB2312"/>
          <w:sz w:val="28"/>
          <w:szCs w:val="28"/>
          <w:lang w:eastAsia="zh-CN"/>
        </w:rPr>
        <w:t>0</w:t>
      </w:r>
      <w:r>
        <w:rPr>
          <w:rFonts w:hint="eastAsia" w:ascii="仿宋_GB2312" w:eastAsia="仿宋_GB2312"/>
          <w:sz w:val="28"/>
          <w:szCs w:val="28"/>
        </w:rPr>
        <w:t>%，其中：授予小微企业合同金额</w:t>
      </w:r>
      <w:r>
        <w:rPr>
          <w:rFonts w:ascii="仿宋_GB2312" w:eastAsia="仿宋_GB2312"/>
          <w:sz w:val="28"/>
          <w:szCs w:val="28"/>
        </w:rPr>
        <w:t>0</w:t>
      </w:r>
      <w:r>
        <w:rPr>
          <w:rFonts w:hint="eastAsia" w:ascii="仿宋_GB2312" w:eastAsia="仿宋_GB2312"/>
          <w:sz w:val="28"/>
          <w:szCs w:val="28"/>
        </w:rPr>
        <w:t>万元，占政府采购支出总额的</w:t>
      </w:r>
      <w:r>
        <w:rPr>
          <w:rFonts w:ascii="仿宋_GB2312" w:eastAsia="仿宋_GB2312"/>
          <w:sz w:val="28"/>
          <w:szCs w:val="28"/>
        </w:rPr>
        <w:t>0</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12月31日，北京市怀柔区监察委员会本级</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政府购买服务决算112.39</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jc w:val="center"/>
        <w:rPr>
          <w:rFonts w:hint="eastAsia" w:ascii="仿宋_GB2312" w:eastAsia="仿宋_GB2312"/>
          <w:sz w:val="28"/>
          <w:szCs w:val="28"/>
        </w:rPr>
      </w:pPr>
    </w:p>
    <w:p>
      <w:pPr>
        <w:pStyle w:val="2"/>
        <w:numPr>
          <w:ilvl w:val="0"/>
          <w:numId w:val="3"/>
        </w:numPr>
        <w:ind w:firstLine="560" w:firstLineChars="200"/>
        <w:rPr>
          <w:rFonts w:hint="eastAsia" w:ascii="仿宋_GB2312" w:eastAsia="仿宋_GB2312"/>
          <w:b w:val="0"/>
          <w:bCs w:val="0"/>
          <w:sz w:val="28"/>
          <w:szCs w:val="28"/>
        </w:rPr>
      </w:pPr>
      <w:r>
        <w:rPr>
          <w:rFonts w:hint="eastAsia" w:ascii="仿宋_GB2312" w:eastAsia="仿宋_GB2312"/>
          <w:b w:val="0"/>
          <w:bCs w:val="0"/>
          <w:sz w:val="28"/>
          <w:szCs w:val="28"/>
        </w:rPr>
        <w:t>基本支出：指为保障机构正常运转、完成日常工作任务而发生的人员支出和公用支出。</w:t>
      </w:r>
    </w:p>
    <w:p>
      <w:pPr>
        <w:pStyle w:val="2"/>
        <w:numPr>
          <w:ilvl w:val="0"/>
          <w:numId w:val="3"/>
        </w:numPr>
        <w:ind w:firstLine="560" w:firstLineChars="200"/>
        <w:rPr>
          <w:rFonts w:hint="eastAsia" w:ascii="仿宋_GB2312" w:eastAsia="仿宋_GB2312"/>
          <w:b w:val="0"/>
          <w:bCs w:val="0"/>
          <w:sz w:val="28"/>
          <w:szCs w:val="28"/>
        </w:rPr>
      </w:pPr>
      <w:r>
        <w:rPr>
          <w:rFonts w:hint="eastAsia" w:ascii="仿宋_GB2312" w:eastAsia="仿宋_GB2312"/>
          <w:b w:val="0"/>
          <w:bCs w:val="0"/>
          <w:sz w:val="28"/>
          <w:szCs w:val="28"/>
        </w:rPr>
        <w:t>项目支出：指在基本支出之外为完成特定行政任务或事业发展目标所发生的支出。</w:t>
      </w:r>
    </w:p>
    <w:p>
      <w:pPr>
        <w:pStyle w:val="2"/>
        <w:numPr>
          <w:ilvl w:val="0"/>
          <w:numId w:val="3"/>
        </w:numPr>
        <w:ind w:firstLine="560" w:firstLineChars="200"/>
        <w:rPr>
          <w:rFonts w:hint="eastAsia" w:ascii="仿宋_GB2312" w:eastAsia="仿宋_GB2312"/>
          <w:b w:val="0"/>
          <w:bCs w:val="0"/>
          <w:sz w:val="28"/>
          <w:szCs w:val="28"/>
        </w:rPr>
      </w:pPr>
      <w:r>
        <w:rPr>
          <w:rFonts w:hint="eastAsia" w:ascii="仿宋_GB2312" w:eastAsia="仿宋_GB2312"/>
          <w:b w:val="0"/>
          <w:bCs w:val="0"/>
          <w:sz w:val="28"/>
          <w:szCs w:val="28"/>
        </w:rPr>
        <w:t>“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r>
        <w:rPr>
          <w:rFonts w:hint="eastAsia" w:ascii="仿宋_GB2312" w:eastAsia="仿宋_GB2312"/>
          <w:b w:val="0"/>
          <w:bCs w:val="0"/>
          <w:sz w:val="28"/>
          <w:szCs w:val="28"/>
          <w:lang w:val="en-US" w:eastAsia="zh-CN"/>
        </w:rPr>
        <w:t xml:space="preserve"> </w:t>
      </w:r>
    </w:p>
    <w:p>
      <w:pPr>
        <w:pStyle w:val="2"/>
        <w:numPr>
          <w:ilvl w:val="0"/>
          <w:numId w:val="3"/>
        </w:numPr>
        <w:ind w:firstLine="560" w:firstLineChars="200"/>
        <w:rPr>
          <w:rFonts w:hint="eastAsia" w:ascii="仿宋_GB2312" w:eastAsia="仿宋_GB2312"/>
          <w:b w:val="0"/>
          <w:bCs w:val="0"/>
          <w:sz w:val="28"/>
          <w:szCs w:val="28"/>
        </w:rPr>
      </w:pPr>
      <w:r>
        <w:rPr>
          <w:rFonts w:hint="eastAsia" w:ascii="仿宋_GB2312" w:eastAsia="仿宋_GB2312"/>
          <w:b w:val="0"/>
          <w:bCs w:val="0"/>
          <w:sz w:val="28"/>
          <w:szCs w:val="28"/>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2"/>
        <w:numPr>
          <w:ilvl w:val="0"/>
          <w:numId w:val="3"/>
        </w:numPr>
        <w:ind w:firstLine="560" w:firstLineChars="200"/>
        <w:rPr>
          <w:rFonts w:hint="eastAsia" w:ascii="仿宋_GB2312" w:eastAsia="仿宋_GB2312"/>
          <w:b w:val="0"/>
          <w:bCs w:val="0"/>
          <w:sz w:val="28"/>
          <w:szCs w:val="28"/>
        </w:rPr>
      </w:pPr>
      <w:r>
        <w:rPr>
          <w:rFonts w:hint="eastAsia" w:ascii="仿宋_GB2312" w:eastAsia="仿宋_GB2312"/>
          <w:b w:val="0"/>
          <w:bCs w:val="0"/>
          <w:sz w:val="28"/>
          <w:szCs w:val="28"/>
        </w:rPr>
        <w:t>政府采购：指各级国家机关、事业单位和团体组织，使用财政性资金采购依法制定的集中目录以内的或者采购限额标准以上的货物、工程和服务的行为，是规范财政支出管理和强化预算约束的有效措施。</w:t>
      </w:r>
    </w:p>
    <w:p>
      <w:pPr>
        <w:pStyle w:val="2"/>
        <w:numPr>
          <w:ilvl w:val="0"/>
          <w:numId w:val="3"/>
        </w:numPr>
        <w:ind w:firstLine="560" w:firstLineChars="200"/>
        <w:rPr>
          <w:rFonts w:hint="eastAsia" w:ascii="仿宋_GB2312" w:eastAsia="仿宋_GB2312"/>
          <w:b w:val="0"/>
          <w:bCs w:val="0"/>
          <w:sz w:val="28"/>
          <w:szCs w:val="28"/>
        </w:rPr>
      </w:pPr>
      <w:r>
        <w:rPr>
          <w:rFonts w:hint="eastAsia" w:ascii="仿宋_GB2312" w:eastAsia="仿宋_GB2312"/>
          <w:b w:val="0"/>
          <w:bCs w:val="0"/>
          <w:sz w:val="28"/>
          <w:szCs w:val="28"/>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pPr>
        <w:pStyle w:val="2"/>
        <w:numPr>
          <w:ilvl w:val="0"/>
          <w:numId w:val="3"/>
        </w:numPr>
        <w:ind w:firstLine="560" w:firstLineChars="200"/>
        <w:rPr>
          <w:rFonts w:hint="eastAsia" w:ascii="仿宋_GB2312" w:eastAsia="仿宋_GB2312"/>
          <w:b w:val="0"/>
          <w:bCs w:val="0"/>
          <w:sz w:val="28"/>
          <w:szCs w:val="28"/>
        </w:rPr>
      </w:pPr>
      <w:r>
        <w:rPr>
          <w:rFonts w:hint="eastAsia" w:ascii="仿宋_GB2312" w:eastAsia="仿宋_GB2312"/>
          <w:b w:val="0"/>
          <w:bCs w:val="0"/>
          <w:sz w:val="28"/>
          <w:szCs w:val="28"/>
        </w:rPr>
        <w:t>一般公共服务支出（类）纪检监察事务（款）行政运行（项）：反映行政单位（包括实行公务员管理的事业单位）的基本支出。</w:t>
      </w:r>
    </w:p>
    <w:p>
      <w:pPr>
        <w:pStyle w:val="2"/>
        <w:numPr>
          <w:ilvl w:val="0"/>
          <w:numId w:val="3"/>
        </w:numPr>
        <w:ind w:firstLine="560" w:firstLineChars="200"/>
        <w:rPr>
          <w:rFonts w:hint="eastAsia" w:ascii="仿宋_GB2312" w:eastAsia="仿宋_GB2312"/>
          <w:b w:val="0"/>
          <w:bCs w:val="0"/>
          <w:sz w:val="28"/>
          <w:szCs w:val="28"/>
        </w:rPr>
      </w:pPr>
      <w:r>
        <w:rPr>
          <w:rFonts w:hint="eastAsia" w:ascii="仿宋_GB2312" w:eastAsia="仿宋_GB2312"/>
          <w:b w:val="0"/>
          <w:bCs w:val="0"/>
          <w:sz w:val="28"/>
          <w:szCs w:val="28"/>
        </w:rPr>
        <w:t>一般公共服务支出（类）纪检监察事务（款）一般行政管理事务（项）：反映行政单位（包括实行公务员管理的事业单位）未单独设置项级科目的其他项目支出。</w:t>
      </w:r>
    </w:p>
    <w:p>
      <w:pPr>
        <w:pStyle w:val="2"/>
        <w:numPr>
          <w:ilvl w:val="0"/>
          <w:numId w:val="3"/>
        </w:numPr>
        <w:ind w:firstLine="560" w:firstLineChars="200"/>
        <w:rPr>
          <w:rFonts w:hint="eastAsia" w:ascii="仿宋_GB2312" w:eastAsia="仿宋_GB2312"/>
          <w:b w:val="0"/>
          <w:bCs w:val="0"/>
          <w:sz w:val="28"/>
          <w:szCs w:val="28"/>
        </w:rPr>
      </w:pPr>
      <w:r>
        <w:rPr>
          <w:rFonts w:hint="eastAsia" w:ascii="仿宋_GB2312" w:eastAsia="仿宋_GB2312"/>
          <w:b w:val="0"/>
          <w:bCs w:val="0"/>
          <w:sz w:val="28"/>
          <w:szCs w:val="28"/>
        </w:rPr>
        <w:t>一般公共服务支出（类）纪检监察事务（款）大案要案查处（项）：反映查处大要（专)案的支出。</w:t>
      </w:r>
    </w:p>
    <w:p>
      <w:pPr>
        <w:pStyle w:val="2"/>
        <w:numPr>
          <w:ilvl w:val="0"/>
          <w:numId w:val="3"/>
        </w:numPr>
        <w:ind w:firstLine="560" w:firstLineChars="200"/>
        <w:rPr>
          <w:rFonts w:hint="eastAsia" w:ascii="仿宋_GB2312" w:eastAsia="仿宋_GB2312"/>
          <w:b w:val="0"/>
          <w:bCs w:val="0"/>
          <w:sz w:val="28"/>
          <w:szCs w:val="28"/>
        </w:rPr>
      </w:pPr>
      <w:r>
        <w:rPr>
          <w:rFonts w:hint="eastAsia" w:ascii="仿宋_GB2312" w:eastAsia="仿宋_GB2312"/>
          <w:b w:val="0"/>
          <w:bCs w:val="0"/>
          <w:sz w:val="28"/>
          <w:szCs w:val="28"/>
        </w:rPr>
        <w:t>一般公共服务支出（类）纪检监察事务（款）派驻派出机构（项）：反映由纪检监察部门负担的派驻各部门和单位的纪检监察人员的专项业务支出。</w:t>
      </w:r>
    </w:p>
    <w:p>
      <w:pPr>
        <w:pStyle w:val="2"/>
        <w:numPr>
          <w:ilvl w:val="0"/>
          <w:numId w:val="3"/>
        </w:numPr>
        <w:ind w:firstLine="560" w:firstLineChars="200"/>
        <w:rPr>
          <w:rFonts w:hint="eastAsia" w:ascii="仿宋_GB2312" w:eastAsia="仿宋_GB2312"/>
          <w:b w:val="0"/>
          <w:bCs w:val="0"/>
          <w:sz w:val="28"/>
          <w:szCs w:val="28"/>
        </w:rPr>
      </w:pPr>
      <w:r>
        <w:rPr>
          <w:rFonts w:hint="eastAsia" w:ascii="仿宋_GB2312" w:eastAsia="仿宋_GB2312"/>
          <w:b w:val="0"/>
          <w:bCs w:val="0"/>
          <w:sz w:val="28"/>
          <w:szCs w:val="28"/>
        </w:rPr>
        <w:t>一般公共服务支出（类）组织事务（款）一般行政管理事务（项）：反映行政单位（包括实行公务员管理的事业单位）未单独设置项级科目的其他项目支出。</w:t>
      </w:r>
    </w:p>
    <w:p>
      <w:pPr>
        <w:pStyle w:val="2"/>
        <w:numPr>
          <w:ilvl w:val="0"/>
          <w:numId w:val="3"/>
        </w:numPr>
        <w:ind w:firstLine="560" w:firstLineChars="200"/>
        <w:rPr>
          <w:rFonts w:hint="eastAsia" w:ascii="仿宋_GB2312" w:eastAsia="仿宋_GB2312"/>
          <w:b w:val="0"/>
          <w:bCs w:val="0"/>
          <w:sz w:val="28"/>
          <w:szCs w:val="28"/>
        </w:rPr>
      </w:pPr>
      <w:r>
        <w:rPr>
          <w:rFonts w:hint="eastAsia" w:ascii="仿宋_GB2312" w:eastAsia="仿宋_GB2312"/>
          <w:b w:val="0"/>
          <w:bCs w:val="0"/>
          <w:sz w:val="28"/>
          <w:szCs w:val="28"/>
        </w:rPr>
        <w:t>一般公共服务支出（类）组织事务（款）其他组织事务（项）：反映除上述项目以外其他用于中国共产党组织部门的事务支出。</w:t>
      </w:r>
    </w:p>
    <w:p>
      <w:pPr>
        <w:pStyle w:val="2"/>
        <w:numPr>
          <w:ilvl w:val="0"/>
          <w:numId w:val="3"/>
        </w:numPr>
        <w:ind w:firstLine="560" w:firstLineChars="200"/>
        <w:rPr>
          <w:rFonts w:hint="eastAsia" w:ascii="仿宋_GB2312" w:eastAsia="仿宋_GB2312"/>
          <w:b w:val="0"/>
          <w:bCs w:val="0"/>
          <w:sz w:val="28"/>
          <w:szCs w:val="28"/>
        </w:rPr>
      </w:pPr>
      <w:r>
        <w:rPr>
          <w:rFonts w:hint="eastAsia" w:ascii="仿宋_GB2312" w:eastAsia="仿宋_GB2312"/>
          <w:b w:val="0"/>
          <w:bCs w:val="0"/>
          <w:sz w:val="28"/>
          <w:szCs w:val="28"/>
        </w:rPr>
        <w:t>社会保障和就业支出（类）行政事业单位养老支出（款）行政单位离退休（项）：反映行政单位（包括实行公务员管理的事业单位）开支的离退休经费。</w:t>
      </w:r>
    </w:p>
    <w:p>
      <w:pPr>
        <w:pStyle w:val="2"/>
        <w:numPr>
          <w:ilvl w:val="0"/>
          <w:numId w:val="3"/>
        </w:numPr>
        <w:ind w:firstLine="560" w:firstLineChars="200"/>
        <w:rPr>
          <w:rFonts w:hint="eastAsia" w:ascii="仿宋_GB2312" w:eastAsia="仿宋_GB2312"/>
          <w:b w:val="0"/>
          <w:bCs w:val="0"/>
          <w:sz w:val="28"/>
          <w:szCs w:val="28"/>
        </w:rPr>
      </w:pPr>
      <w:r>
        <w:rPr>
          <w:rFonts w:hint="eastAsia" w:ascii="仿宋_GB2312" w:eastAsia="仿宋_GB2312"/>
          <w:b w:val="0"/>
          <w:bCs w:val="0"/>
          <w:sz w:val="28"/>
          <w:szCs w:val="28"/>
        </w:rPr>
        <w:t>社会保障和就业支出（类）行政事业单位养老支出（款）机关事业单位基本养老保险缴费支出（项）：反映机关事业单位实施养老保险制度由单位缴纳的基本养老保险费支出。</w:t>
      </w:r>
    </w:p>
    <w:p>
      <w:pPr>
        <w:pStyle w:val="2"/>
        <w:numPr>
          <w:ilvl w:val="0"/>
          <w:numId w:val="3"/>
        </w:numPr>
        <w:ind w:firstLine="560" w:firstLineChars="200"/>
        <w:rPr>
          <w:rFonts w:hint="eastAsia" w:ascii="仿宋_GB2312" w:eastAsia="仿宋_GB2312"/>
          <w:b w:val="0"/>
          <w:bCs w:val="0"/>
          <w:sz w:val="28"/>
          <w:szCs w:val="28"/>
        </w:rPr>
      </w:pPr>
      <w:r>
        <w:rPr>
          <w:rFonts w:hint="eastAsia" w:ascii="仿宋_GB2312" w:eastAsia="仿宋_GB2312"/>
          <w:b w:val="0"/>
          <w:bCs w:val="0"/>
          <w:sz w:val="28"/>
          <w:szCs w:val="28"/>
        </w:rPr>
        <w:t>社会保障和就业支出（类）行政事业单位养老支出（款）机关事业单位职业年金缴费支出（项）：反映机关事业单位实施养老保险制度由单位实际缴纳的职业年金支出。</w:t>
      </w:r>
    </w:p>
    <w:p>
      <w:pPr>
        <w:rPr>
          <w:rFonts w:hint="eastAsia"/>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4"/>
        </w:numPr>
        <w:ind w:firstLine="560" w:firstLineChars="200"/>
        <w:rPr>
          <w:rFonts w:hint="eastAsia" w:ascii="黑体" w:eastAsia="黑体"/>
          <w:sz w:val="28"/>
          <w:szCs w:val="28"/>
          <w:lang w:eastAsia="zh-CN"/>
        </w:rPr>
      </w:pPr>
      <w:r>
        <w:rPr>
          <w:rFonts w:hint="eastAsia" w:ascii="黑体" w:eastAsia="黑体"/>
          <w:sz w:val="28"/>
          <w:szCs w:val="28"/>
          <w:highlight w:val="none"/>
        </w:rPr>
        <w:t>部门整体绩效评价报告</w:t>
      </w:r>
      <w:r>
        <w:rPr>
          <w:rFonts w:hint="eastAsia" w:ascii="黑体" w:eastAsia="黑体"/>
          <w:sz w:val="28"/>
          <w:szCs w:val="28"/>
          <w:lang w:eastAsia="zh-CN"/>
        </w:rPr>
        <w:t>（详见附件</w:t>
      </w:r>
      <w:r>
        <w:rPr>
          <w:rFonts w:hint="eastAsia" w:ascii="黑体" w:eastAsia="黑体"/>
          <w:sz w:val="28"/>
          <w:szCs w:val="28"/>
          <w:lang w:val="en-US" w:eastAsia="zh-CN"/>
        </w:rPr>
        <w:t>2</w:t>
      </w:r>
      <w:r>
        <w:rPr>
          <w:rFonts w:hint="eastAsia" w:ascii="黑体" w:eastAsia="黑体"/>
          <w:sz w:val="28"/>
          <w:szCs w:val="28"/>
          <w:lang w:eastAsia="zh-CN"/>
        </w:rPr>
        <w:t>）</w:t>
      </w:r>
    </w:p>
    <w:p>
      <w:pPr>
        <w:numPr>
          <w:ilvl w:val="0"/>
          <w:numId w:val="4"/>
        </w:numPr>
        <w:ind w:firstLine="560" w:firstLineChars="200"/>
        <w:rPr>
          <w:rFonts w:hint="eastAsia" w:ascii="黑体" w:eastAsia="黑体"/>
          <w:sz w:val="28"/>
          <w:szCs w:val="28"/>
          <w:lang w:eastAsia="zh-CN"/>
        </w:rPr>
      </w:pPr>
      <w:r>
        <w:rPr>
          <w:rFonts w:hint="eastAsia" w:ascii="黑体" w:eastAsia="黑体"/>
          <w:sz w:val="28"/>
          <w:szCs w:val="28"/>
        </w:rPr>
        <w:t>项目支出绩效评价报告</w:t>
      </w:r>
      <w:r>
        <w:rPr>
          <w:rFonts w:hint="eastAsia" w:ascii="黑体" w:eastAsia="黑体"/>
          <w:sz w:val="28"/>
          <w:szCs w:val="28"/>
          <w:lang w:eastAsia="zh-CN"/>
        </w:rPr>
        <w:t>（详见附件</w:t>
      </w:r>
      <w:r>
        <w:rPr>
          <w:rFonts w:hint="eastAsia" w:ascii="黑体" w:eastAsia="黑体"/>
          <w:sz w:val="28"/>
          <w:szCs w:val="28"/>
          <w:lang w:val="en-US" w:eastAsia="zh-CN"/>
        </w:rPr>
        <w:t>3</w:t>
      </w:r>
      <w:r>
        <w:rPr>
          <w:rFonts w:hint="eastAsia" w:ascii="黑体" w:eastAsia="黑体"/>
          <w:sz w:val="28"/>
          <w:szCs w:val="28"/>
          <w:lang w:eastAsia="zh-CN"/>
        </w:rPr>
        <w:t>）</w:t>
      </w:r>
    </w:p>
    <w:p>
      <w:pPr>
        <w:numPr>
          <w:ilvl w:val="0"/>
          <w:numId w:val="4"/>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r>
        <w:rPr>
          <w:rFonts w:hint="eastAsia" w:ascii="黑体" w:eastAsia="黑体"/>
          <w:sz w:val="28"/>
          <w:szCs w:val="28"/>
          <w:lang w:val="en-US" w:eastAsia="zh-CN"/>
        </w:rPr>
        <w:t>4</w:t>
      </w:r>
      <w:r>
        <w:rPr>
          <w:rFonts w:hint="eastAsia" w:ascii="黑体" w:eastAsia="黑体"/>
          <w:sz w:val="28"/>
          <w:szCs w:val="28"/>
          <w:lang w:eastAsia="zh-CN"/>
        </w:rPr>
        <w:t>）</w:t>
      </w:r>
    </w:p>
    <w:p>
      <w:pPr>
        <w:numPr>
          <w:ilvl w:val="0"/>
          <w:numId w:val="4"/>
        </w:numPr>
        <w:ind w:firstLine="560" w:firstLineChars="200"/>
        <w:rPr>
          <w:rFonts w:hint="eastAsia" w:ascii="黑体" w:eastAsia="黑体"/>
          <w:sz w:val="28"/>
          <w:szCs w:val="28"/>
          <w:lang w:eastAsia="zh-CN"/>
        </w:rPr>
      </w:pPr>
      <w:r>
        <w:rPr>
          <w:rFonts w:hint="eastAsia" w:ascii="黑体" w:hAnsi="Times New Roman" w:eastAsia="黑体" w:cs="Times New Roman"/>
          <w:sz w:val="28"/>
          <w:szCs w:val="28"/>
          <w:lang w:val="en-US" w:eastAsia="zh-CN"/>
        </w:rPr>
        <w:t>中央对北京XX转移支付预算执行情况绩效自评</w:t>
      </w:r>
      <w:r>
        <w:rPr>
          <w:rFonts w:hint="eastAsia" w:ascii="黑体" w:eastAsia="黑体" w:cs="Times New Roman"/>
          <w:sz w:val="28"/>
          <w:szCs w:val="28"/>
          <w:lang w:val="en-US" w:eastAsia="zh-CN"/>
        </w:rPr>
        <w:t>表</w:t>
      </w:r>
    </w:p>
    <w:p>
      <w:pPr>
        <w:pStyle w:val="2"/>
        <w:rPr>
          <w:rFonts w:hint="eastAsia"/>
          <w:lang w:val="en-US" w:eastAsia="zh-CN"/>
        </w:rPr>
      </w:pPr>
      <w:r>
        <w:rPr>
          <w:rFonts w:hint="eastAsia"/>
          <w:lang w:val="en-US" w:eastAsia="zh-CN"/>
        </w:rPr>
        <w:t xml:space="preserve">    </w:t>
      </w:r>
      <w:r>
        <w:rPr>
          <w:rFonts w:hint="eastAsia" w:ascii="仿宋_GB2312" w:hAnsi="仿宋_GB2312" w:eastAsia="仿宋_GB2312" w:cs="仿宋_GB2312"/>
          <w:b w:val="0"/>
          <w:bCs w:val="0"/>
          <w:sz w:val="32"/>
          <w:szCs w:val="32"/>
          <w:lang w:val="en-US" w:eastAsia="zh-CN"/>
        </w:rPr>
        <w:t>本单位不涉及此项资金。</w:t>
      </w:r>
    </w:p>
    <w:p>
      <w:pPr>
        <w:spacing w:line="480" w:lineRule="exact"/>
        <w:rPr>
          <w:rFonts w:hint="eastAsia" w:ascii="黑体" w:eastAsia="黑体"/>
          <w:sz w:val="28"/>
          <w:szCs w:val="28"/>
          <w:lang w:val="en-US" w:eastAsia="zh-CN"/>
        </w:rPr>
      </w:pPr>
      <w:r>
        <w:rPr>
          <w:rFonts w:hint="eastAsia" w:ascii="黑体" w:eastAsia="黑体"/>
          <w:sz w:val="28"/>
          <w:szCs w:val="28"/>
        </w:rPr>
        <w:t>（注：</w:t>
      </w:r>
      <w:r>
        <w:rPr>
          <w:rFonts w:hint="eastAsia" w:ascii="黑体" w:eastAsia="黑体"/>
          <w:sz w:val="28"/>
          <w:szCs w:val="28"/>
          <w:lang w:val="en-US" w:eastAsia="zh-CN"/>
        </w:rPr>
        <w:t>1.</w:t>
      </w:r>
      <w:r>
        <w:rPr>
          <w:rFonts w:hint="eastAsia" w:ascii="黑体" w:eastAsia="黑体"/>
          <w:color w:val="auto"/>
          <w:sz w:val="28"/>
          <w:szCs w:val="28"/>
        </w:rPr>
        <w:t>有中央转移支付的一级预算部门，公开“一、二、三、四”；没有中央转移支付的一级预算部门，公开“一、二、三”；</w:t>
      </w:r>
      <w:r>
        <w:rPr>
          <w:rFonts w:hint="eastAsia" w:ascii="黑体" w:eastAsia="黑体"/>
          <w:sz w:val="28"/>
          <w:szCs w:val="28"/>
        </w:rPr>
        <w:t>二级预算单位仅公开“三”</w:t>
      </w:r>
      <w:r>
        <w:rPr>
          <w:rFonts w:hint="eastAsia" w:ascii="黑体" w:eastAsia="黑体"/>
          <w:sz w:val="28"/>
          <w:szCs w:val="28"/>
          <w:lang w:val="en-US" w:eastAsia="zh-CN"/>
        </w:rPr>
        <w:t>;</w:t>
      </w:r>
    </w:p>
    <w:p>
      <w:pPr>
        <w:spacing w:line="480" w:lineRule="exact"/>
        <w:ind w:firstLine="840" w:firstLineChars="300"/>
      </w:pPr>
      <w:r>
        <w:rPr>
          <w:rFonts w:hint="eastAsia" w:ascii="黑体" w:eastAsia="黑体"/>
          <w:sz w:val="28"/>
          <w:szCs w:val="28"/>
          <w:highlight w:val="none"/>
          <w:lang w:val="en-US" w:eastAsia="zh-CN"/>
        </w:rPr>
        <w:t>2.</w:t>
      </w:r>
      <w:r>
        <w:rPr>
          <w:rFonts w:hint="eastAsia" w:ascii="黑体" w:eastAsia="黑体"/>
          <w:sz w:val="28"/>
          <w:szCs w:val="28"/>
          <w:highlight w:val="none"/>
          <w:lang w:eastAsia="zh-CN"/>
        </w:rPr>
        <w:t>请各单位公开时保留本部分所有标题，不得进行修改或删除；没有上述四项标题中的某项或某几项的，保留标题，同时在相应的标题下解释说明原因。</w:t>
      </w:r>
      <w:r>
        <w:rPr>
          <w:rFonts w:hint="eastAsia" w:ascii="黑体" w:eastAsia="黑体"/>
          <w:sz w:val="28"/>
          <w:szCs w:val="28"/>
        </w:rPr>
        <w:t>）</w:t>
      </w: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方正书宋_GBK">
    <w:altName w:val="微软雅黑"/>
    <w:panose1 w:val="02000000000000000000"/>
    <w:charset w:val="86"/>
    <w:family w:val="auto"/>
    <w:pitch w:val="default"/>
    <w:sig w:usb0="00000000" w:usb1="00000000" w:usb2="00000000" w:usb3="00000000" w:csb0="00040000" w:csb1="00000000"/>
  </w:font>
  <w:font w:name="方正仿宋_GBK">
    <w:altName w:val="微软雅黑"/>
    <w:panose1 w:val="02000000000000000000"/>
    <w:charset w:val="86"/>
    <w:family w:val="auto"/>
    <w:pitch w:val="default"/>
    <w:sig w:usb0="00000000" w:usb1="00000000" w:usb2="00000000" w:usb3="00000000" w:csb0="00040000" w:csb1="00000000"/>
  </w:font>
  <w:font w:name="DejaVu Sans">
    <w:altName w:val="Segoe Print"/>
    <w:panose1 w:val="020B0603030804020204"/>
    <w:charset w:val="00"/>
    <w:family w:val="auto"/>
    <w:pitch w:val="default"/>
    <w:sig w:usb0="00000000" w:usb1="00000000" w:usb2="0A246029" w:usb3="0400200C" w:csb0="600001FF" w:csb1="DFFF0000"/>
  </w:font>
  <w:font w:name="方正黑体_GBK">
    <w:altName w:val="微软雅黑"/>
    <w:panose1 w:val="02000000000000000000"/>
    <w:charset w:val="86"/>
    <w:family w:val="auto"/>
    <w:pitch w:val="default"/>
    <w:sig w:usb0="00000000" w:usb1="00000000" w:usb2="00000000" w:usb3="00000000" w:csb0="00040000" w:csb1="00000000"/>
  </w:font>
  <w:font w:name="Noto Sans Syriac Eastern">
    <w:altName w:val="宋体"/>
    <w:panose1 w:val="02040503050306020203"/>
    <w:charset w:val="86"/>
    <w:family w:val="auto"/>
    <w:pitch w:val="default"/>
    <w:sig w:usb0="00000000" w:usb1="00000000" w:usb2="00000080" w:usb3="00000000" w:csb0="203E0161" w:csb1="D7FF0000"/>
  </w:font>
  <w:font w:name="方正宋体S-超大字符集">
    <w:altName w:val="宋体"/>
    <w:panose1 w:val="02000000000000000000"/>
    <w:charset w:val="86"/>
    <w:family w:val="auto"/>
    <w:pitch w:val="default"/>
    <w:sig w:usb0="00000000" w:usb1="00000000" w:usb2="00000000" w:usb3="00000000" w:csb0="00040000" w:csb1="00000000"/>
  </w:font>
  <w:font w:name="Noto Serif CJK JP">
    <w:altName w:val="宋体"/>
    <w:panose1 w:val="02020400000000000000"/>
    <w:charset w:val="86"/>
    <w:family w:val="auto"/>
    <w:pitch w:val="default"/>
    <w:sig w:usb0="00000000" w:usb1="00000000" w:usb2="00000016" w:usb3="00000000" w:csb0="602E0107"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 w:name="汉仪细圆B5">
    <w:altName w:val="Segoe Print"/>
    <w:panose1 w:val="00000000000000000000"/>
    <w:charset w:val="00"/>
    <w:family w:val="auto"/>
    <w:pitch w:val="default"/>
    <w:sig w:usb0="00000000" w:usb1="00000000" w:usb2="00000000" w:usb3="00000000" w:csb0="00000000" w:csb1="00000000"/>
  </w:font>
  <w:font w:name="CESI黑体-GB2312">
    <w:altName w:val="黑体"/>
    <w:panose1 w:val="02000500000000000000"/>
    <w:charset w:val="86"/>
    <w:family w:val="auto"/>
    <w:pitch w:val="default"/>
    <w:sig w:usb0="00000000" w:usb1="00000000" w:usb2="00000012" w:usb3="00000000" w:csb0="0004000F" w:csb1="00000000"/>
  </w:font>
  <w:font w:name="方正小标宋简体">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楷体_GBK">
    <w:altName w:val="微软雅黑"/>
    <w:panose1 w:val="02000000000000000000"/>
    <w:charset w:val="86"/>
    <w:family w:val="auto"/>
    <w:pitch w:val="default"/>
    <w:sig w:usb0="00000000" w:usb1="00000000" w:usb2="00000000" w:usb3="00000000" w:csb0="00040000" w:csb1="00000000"/>
  </w:font>
  <w:font w:name="国标仿宋">
    <w:altName w:val="仿宋"/>
    <w:panose1 w:val="02000500000000000000"/>
    <w:charset w:val="86"/>
    <w:family w:val="auto"/>
    <w:pitch w:val="default"/>
    <w:sig w:usb0="00000000" w:usb1="00000000" w:usb2="00000016" w:usb3="00000000" w:csb0="00060007" w:csb1="00000000"/>
  </w:font>
  <w:font w:name="font-weight : 400">
    <w:altName w:val="Segoe Print"/>
    <w:panose1 w:val="00000000000000000000"/>
    <w:charset w:val="00"/>
    <w:family w:val="auto"/>
    <w:pitch w:val="default"/>
    <w:sig w:usb0="00000000" w:usb1="00000000" w:usb2="00000000" w:usb3="00000000" w:csb0="00040001" w:csb1="00000000"/>
  </w:font>
  <w:font w:name="font-weight : 700">
    <w:altName w:val="Segoe Print"/>
    <w:panose1 w:val="00000000000000000000"/>
    <w:charset w:val="00"/>
    <w:family w:val="auto"/>
    <w:pitch w:val="default"/>
    <w:sig w:usb0="00000000" w:usb1="00000000" w:usb2="00000000" w:usb3="00000000" w:csb0="00040001" w:csb1="00000000"/>
  </w:font>
  <w:font w:name="Arial">
    <w:panose1 w:val="020B0604020202020204"/>
    <w:charset w:val="00"/>
    <w:family w:val="swiss"/>
    <w:pitch w:val="default"/>
    <w:sig w:usb0="E0002AFF" w:usb1="C0007843" w:usb2="00000009" w:usb3="00000000" w:csb0="400001FF" w:csb1="FFFF0000"/>
  </w:font>
  <w:font w:name="思源黑体 CN Normal">
    <w:altName w:val="黑体"/>
    <w:panose1 w:val="020B0400000000000000"/>
    <w:charset w:val="86"/>
    <w:family w:val="auto"/>
    <w:pitch w:val="default"/>
    <w:sig w:usb0="00000000" w:usb1="00000000" w:usb2="00000016" w:usb3="00000000" w:csb0="60060107" w:csb1="00000000"/>
  </w:font>
  <w:font w:name="华文中宋">
    <w:altName w:val="宋体"/>
    <w:panose1 w:val="02010600040101010101"/>
    <w:charset w:val="86"/>
    <w:family w:val="auto"/>
    <w:pitch w:val="default"/>
    <w:sig w:usb0="00000000" w:usb1="00000000" w:usb2="00000000" w:usb3="00000000" w:csb0="0004009F" w:csb1="DFD70000"/>
  </w:font>
  <w:font w:name="Calibri Light">
    <w:panose1 w:val="020F0302020204030204"/>
    <w:charset w:val="00"/>
    <w:family w:val="auto"/>
    <w:pitch w:val="default"/>
    <w:sig w:usb0="A00002EF" w:usb1="4000207B" w:usb2="00000000" w:usb3="00000000" w:csb0="2000019F" w:csb1="00000000"/>
  </w:font>
  <w:font w:name="新宋体">
    <w:panose1 w:val="02010609030101010101"/>
    <w:charset w:val="86"/>
    <w:family w:val="auto"/>
    <w:pitch w:val="default"/>
    <w:sig w:usb0="00000003" w:usb1="288F0000" w:usb2="00000006" w:usb3="00000000" w:csb0="00040001" w:csb1="00000000"/>
  </w:font>
  <w:font w:name="方正美黑_GBK">
    <w:panose1 w:val="03000509000000000000"/>
    <w:charset w:val="86"/>
    <w:family w:val="auto"/>
    <w:pitch w:val="default"/>
    <w:sig w:usb0="00000001" w:usb1="080E0000" w:usb2="00000000" w:usb3="00000000" w:csb0="00040000" w:csb1="00000000"/>
  </w:font>
  <w:font w:name="GulimChe">
    <w:panose1 w:val="020B0609000101010101"/>
    <w:charset w:val="81"/>
    <w:family w:val="auto"/>
    <w:pitch w:val="default"/>
    <w:sig w:usb0="B00002AF" w:usb1="69D77CFB" w:usb2="00000030" w:usb3="00000000" w:csb0="4008009F" w:csb1="DFD70000"/>
  </w:font>
  <w:font w:name="Liberation Sans">
    <w:altName w:val="微软雅黑"/>
    <w:panose1 w:val="00000000000000000000"/>
    <w:charset w:val="00"/>
    <w:family w:val="swiss"/>
    <w:pitch w:val="default"/>
    <w:sig w:usb0="00000000" w:usb1="00000000" w:usb2="00000000" w:usb3="00000000" w:csb0="00040001" w:csb1="00000000"/>
  </w:font>
  <w:font w:name="Noto Sans CJK SC Regular">
    <w:altName w:val="宋体"/>
    <w:panose1 w:val="020B0500000000000000"/>
    <w:charset w:val="86"/>
    <w:family w:val="auto"/>
    <w:pitch w:val="default"/>
    <w:sig w:usb0="00000000" w:usb1="00000000" w:usb2="00000016" w:usb3="00000000" w:csb0="602E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68AD4E6A"/>
    <w:multiLevelType w:val="singleLevel"/>
    <w:tmpl w:val="68AD4E6A"/>
    <w:lvl w:ilvl="0" w:tentative="0">
      <w:start w:val="1"/>
      <w:numFmt w:val="decimal"/>
      <w:suff w:val="nothing"/>
      <w:lvlText w:val="%1."/>
      <w:lvlJc w:val="left"/>
    </w:lvl>
  </w:abstractNum>
  <w:abstractNum w:abstractNumId="2">
    <w:nsid w:val="68AD5551"/>
    <w:multiLevelType w:val="singleLevel"/>
    <w:tmpl w:val="68AD5551"/>
    <w:lvl w:ilvl="0" w:tentative="0">
      <w:start w:val="1"/>
      <w:numFmt w:val="decimal"/>
      <w:suff w:val="nothing"/>
      <w:lvlText w:val="%1."/>
      <w:lvlJc w:val="left"/>
    </w:lvl>
  </w:abstractNum>
  <w:abstractNum w:abstractNumId="3">
    <w:nsid w:val="68AD7995"/>
    <w:multiLevelType w:val="singleLevel"/>
    <w:tmpl w:val="68AD7995"/>
    <w:lvl w:ilvl="0" w:tentative="0">
      <w:start w:val="2"/>
      <w:numFmt w:val="decimal"/>
      <w:suff w:val="nothing"/>
      <w:lvlText w:val="%1、"/>
      <w:lvlJc w:val="left"/>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46FC9"/>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032CDE"/>
    <w:rsid w:val="02F120AB"/>
    <w:rsid w:val="03100383"/>
    <w:rsid w:val="032B5196"/>
    <w:rsid w:val="03376A4A"/>
    <w:rsid w:val="04B73A6A"/>
    <w:rsid w:val="04C3537C"/>
    <w:rsid w:val="0540116C"/>
    <w:rsid w:val="05B61377"/>
    <w:rsid w:val="062778E5"/>
    <w:rsid w:val="079004AC"/>
    <w:rsid w:val="09D22A35"/>
    <w:rsid w:val="0A086EDA"/>
    <w:rsid w:val="0B3F414E"/>
    <w:rsid w:val="0BA148CA"/>
    <w:rsid w:val="0C1165C4"/>
    <w:rsid w:val="0CBA2081"/>
    <w:rsid w:val="0D6D544B"/>
    <w:rsid w:val="0D926018"/>
    <w:rsid w:val="0DD136FE"/>
    <w:rsid w:val="0F8E2C57"/>
    <w:rsid w:val="1059665E"/>
    <w:rsid w:val="10AC13BA"/>
    <w:rsid w:val="120B4EE8"/>
    <w:rsid w:val="12F62F3C"/>
    <w:rsid w:val="145A6C1B"/>
    <w:rsid w:val="14B73493"/>
    <w:rsid w:val="167A2FF9"/>
    <w:rsid w:val="169C49E2"/>
    <w:rsid w:val="18021E38"/>
    <w:rsid w:val="18581C69"/>
    <w:rsid w:val="1A6641C5"/>
    <w:rsid w:val="1AEC0734"/>
    <w:rsid w:val="1C3665C3"/>
    <w:rsid w:val="1D801E7F"/>
    <w:rsid w:val="1DEF20B0"/>
    <w:rsid w:val="1FBB6458"/>
    <w:rsid w:val="214243FA"/>
    <w:rsid w:val="21AD613C"/>
    <w:rsid w:val="223C6430"/>
    <w:rsid w:val="22467189"/>
    <w:rsid w:val="227B25F8"/>
    <w:rsid w:val="230945D7"/>
    <w:rsid w:val="257A14F5"/>
    <w:rsid w:val="27196C26"/>
    <w:rsid w:val="27C15142"/>
    <w:rsid w:val="287455E2"/>
    <w:rsid w:val="29EF086F"/>
    <w:rsid w:val="2A8929E1"/>
    <w:rsid w:val="2DAD7A01"/>
    <w:rsid w:val="2EFFE297"/>
    <w:rsid w:val="301437CA"/>
    <w:rsid w:val="302C62A6"/>
    <w:rsid w:val="30D44567"/>
    <w:rsid w:val="31D47BD2"/>
    <w:rsid w:val="32486440"/>
    <w:rsid w:val="326305FE"/>
    <w:rsid w:val="32D1576D"/>
    <w:rsid w:val="349D1F0A"/>
    <w:rsid w:val="34DD0473"/>
    <w:rsid w:val="35B7446D"/>
    <w:rsid w:val="35DF5903"/>
    <w:rsid w:val="361133AA"/>
    <w:rsid w:val="37FF6D5A"/>
    <w:rsid w:val="3889794B"/>
    <w:rsid w:val="3C684897"/>
    <w:rsid w:val="3EF14545"/>
    <w:rsid w:val="41D31ADE"/>
    <w:rsid w:val="428B34D4"/>
    <w:rsid w:val="42F76BB3"/>
    <w:rsid w:val="430926B1"/>
    <w:rsid w:val="433E495C"/>
    <w:rsid w:val="44AF3B42"/>
    <w:rsid w:val="44E01AC2"/>
    <w:rsid w:val="45D869D6"/>
    <w:rsid w:val="489F2FD7"/>
    <w:rsid w:val="48E651D2"/>
    <w:rsid w:val="496D4D6F"/>
    <w:rsid w:val="4A114D9B"/>
    <w:rsid w:val="4A1D4F5E"/>
    <w:rsid w:val="4AC27CB3"/>
    <w:rsid w:val="4BAF2018"/>
    <w:rsid w:val="4BF72BEF"/>
    <w:rsid w:val="4E647A07"/>
    <w:rsid w:val="4FA90297"/>
    <w:rsid w:val="4FC41A43"/>
    <w:rsid w:val="507F31ED"/>
    <w:rsid w:val="5092564E"/>
    <w:rsid w:val="5150031D"/>
    <w:rsid w:val="51DB3C59"/>
    <w:rsid w:val="52A265D6"/>
    <w:rsid w:val="52BF0705"/>
    <w:rsid w:val="54274464"/>
    <w:rsid w:val="548D0289"/>
    <w:rsid w:val="550C0952"/>
    <w:rsid w:val="55762E42"/>
    <w:rsid w:val="57A7B272"/>
    <w:rsid w:val="58327843"/>
    <w:rsid w:val="58470068"/>
    <w:rsid w:val="58747CAC"/>
    <w:rsid w:val="58BE1085"/>
    <w:rsid w:val="58E9262E"/>
    <w:rsid w:val="59EA775C"/>
    <w:rsid w:val="5A1720F9"/>
    <w:rsid w:val="5B4228E3"/>
    <w:rsid w:val="5B9108D6"/>
    <w:rsid w:val="5B9C37C2"/>
    <w:rsid w:val="5BA7C654"/>
    <w:rsid w:val="5D000E32"/>
    <w:rsid w:val="5DB80B26"/>
    <w:rsid w:val="5F7D6FD7"/>
    <w:rsid w:val="60A54109"/>
    <w:rsid w:val="610A2BF1"/>
    <w:rsid w:val="61D01CDF"/>
    <w:rsid w:val="62EE4782"/>
    <w:rsid w:val="63B55508"/>
    <w:rsid w:val="64181263"/>
    <w:rsid w:val="64C0607C"/>
    <w:rsid w:val="656C0782"/>
    <w:rsid w:val="65756C86"/>
    <w:rsid w:val="674D385B"/>
    <w:rsid w:val="676316E9"/>
    <w:rsid w:val="676F09E1"/>
    <w:rsid w:val="69AC607C"/>
    <w:rsid w:val="69F331D0"/>
    <w:rsid w:val="6A1819E4"/>
    <w:rsid w:val="6B493EE8"/>
    <w:rsid w:val="6B9C0557"/>
    <w:rsid w:val="6C391A66"/>
    <w:rsid w:val="6E271807"/>
    <w:rsid w:val="6FD07588"/>
    <w:rsid w:val="728B19BA"/>
    <w:rsid w:val="7357290B"/>
    <w:rsid w:val="73D1707C"/>
    <w:rsid w:val="73F13B83"/>
    <w:rsid w:val="74A33EE6"/>
    <w:rsid w:val="75400A7C"/>
    <w:rsid w:val="7550059F"/>
    <w:rsid w:val="79152402"/>
    <w:rsid w:val="798524E4"/>
    <w:rsid w:val="7A7F1C49"/>
    <w:rsid w:val="7B5B7AE6"/>
    <w:rsid w:val="7B7B6628"/>
    <w:rsid w:val="7BA7071E"/>
    <w:rsid w:val="7BA847C9"/>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7DF6419"/>
    <w:rsid w:val="EB7F4B52"/>
    <w:rsid w:val="EDAA365C"/>
    <w:rsid w:val="EDADFC12"/>
    <w:rsid w:val="F2FD229B"/>
    <w:rsid w:val="F7F709E9"/>
    <w:rsid w:val="F7FF3690"/>
    <w:rsid w:val="F9BD3900"/>
    <w:rsid w:val="FC8B9876"/>
    <w:rsid w:val="FEDFF218"/>
    <w:rsid w:val="FEDFFFFF"/>
    <w:rsid w:val="FFBF3D73"/>
    <w:rsid w:val="FFFEE3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0">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1">
    <w:name w:val="Strong"/>
    <w:qFormat/>
    <w:uiPriority w:val="0"/>
    <w:rPr>
      <w:b/>
    </w:rPr>
  </w:style>
  <w:style w:type="character" w:styleId="12">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D:\2024&#24180;&#24037;&#20316;\&#36130;&#25919;&#23616;\2023&#24180;&#20915;&#31639;\2023&#24180;&#20915;&#31639;&#20844;&#24320;\&#25910;&#20837;&#19982;&#25903;&#20986;&#20915;&#31639;&#22270;&#3103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6062.42</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支出决算</a:t>
            </a:r>
          </a:p>
        </c:rich>
      </c:tx>
      <c:layout>
        <c:manualLayout>
          <c:xMode val="edge"/>
          <c:yMode val="edge"/>
          <c:x val="0.426944444444444"/>
          <c:y val="0.0208333333333333"/>
        </c:manualLayout>
      </c:layout>
      <c:overlay val="0"/>
      <c:spPr>
        <a:noFill/>
        <a:ln>
          <a:noFill/>
        </a:ln>
        <a:effectLst/>
      </c:spPr>
    </c:title>
    <c:autoTitleDeleted val="0"/>
    <c:plotArea>
      <c:layout/>
      <c:pieChart>
        <c:varyColors val="1"/>
        <c:ser>
          <c:idx val="0"/>
          <c:order val="0"/>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Lbls>
            <c:dLbl>
              <c:idx val="0"/>
              <c:layout>
                <c:manualLayout>
                  <c:x val="0.13111648711781"/>
                  <c:y val="-0.141405513220501"/>
                </c:manualLayout>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75000"/>
                            <a:lumOff val="25000"/>
                          </a:schemeClr>
                        </a:solidFill>
                        <a:latin typeface="+mn-lt"/>
                        <a:ea typeface="+mn-ea"/>
                        <a:cs typeface="+mn-cs"/>
                      </a:defRPr>
                    </a:pPr>
                    <a:r>
                      <a:rPr lang="en-US" altLang="zh-CN"/>
                      <a:t>72.91%</a:t>
                    </a:r>
                    <a:endParaRPr lang="en-US" altLang="zh-CN"/>
                  </a:p>
                </c:rich>
              </c:tx>
              <c:dLblPos val="bestFi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00176499943659002"/>
                  <c:y val="0.00489925333450448"/>
                </c:manualLayout>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75000"/>
                            <a:lumOff val="25000"/>
                          </a:schemeClr>
                        </a:solidFill>
                        <a:latin typeface="+mn-lt"/>
                        <a:ea typeface="+mn-ea"/>
                        <a:cs typeface="+mn-cs"/>
                      </a:defRPr>
                    </a:pPr>
                    <a:r>
                      <a:rPr lang="en-US" altLang="zh-CN"/>
                      <a:t>27.09%</a:t>
                    </a:r>
                    <a:endParaRPr lang="en-US" altLang="zh-CN"/>
                  </a:p>
                </c:rich>
              </c:tx>
              <c:dLblPos val="bestFit"/>
              <c:showLegendKey val="0"/>
              <c:showVal val="1"/>
              <c:showCatName val="0"/>
              <c:showSerName val="0"/>
              <c:showPercent val="0"/>
              <c:showBubbleSize val="0"/>
              <c:extLst>
                <c:ext xmlns:c15="http://schemas.microsoft.com/office/drawing/2012/chart" uri="{CE6537A1-D6FC-4f65-9D91-7224C49458BB}">
                  <c15:layout/>
                </c:ext>
              </c:extLst>
            </c:dLbl>
            <c:dLbl>
              <c:idx val="2"/>
              <c:delete val="1"/>
            </c:dLbl>
            <c:dLbl>
              <c:idx val="3"/>
              <c:delete val="1"/>
            </c:dLbl>
            <c:dLbl>
              <c:idx val="4"/>
              <c:delete val="1"/>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[收入与支出决算图示.xlsx]Sheet1!$A$2:$A$6</c:f>
              <c:strCache>
                <c:ptCount val="5"/>
                <c:pt idx="0">
                  <c:v>基本支出</c:v>
                </c:pt>
                <c:pt idx="1">
                  <c:v>项目支出</c:v>
                </c:pt>
                <c:pt idx="2">
                  <c:v>上缴上级支出</c:v>
                </c:pt>
                <c:pt idx="3">
                  <c:v>经营支出</c:v>
                </c:pt>
                <c:pt idx="4">
                  <c:v>对附属单位补助支出</c:v>
                </c:pt>
              </c:strCache>
            </c:strRef>
          </c:cat>
          <c:val>
            <c:numRef>
              <c:f>[收入与支出决算图示.xlsx]Sheet1!$B$2:$B$6</c:f>
              <c:numCache>
                <c:formatCode>General</c:formatCode>
                <c:ptCount val="5"/>
                <c:pt idx="0">
                  <c:v>4666.1</c:v>
                </c:pt>
                <c:pt idx="1">
                  <c:v>1733.75</c:v>
                </c:pt>
                <c:pt idx="2">
                  <c:v>0</c:v>
                </c:pt>
                <c:pt idx="3">
                  <c:v>0</c:v>
                </c:pt>
                <c:pt idx="4">
                  <c:v>0</c:v>
                </c:pt>
              </c:numCache>
            </c:numRef>
          </c:val>
        </c:ser>
        <c:ser>
          <c:idx val="1"/>
          <c:order val="1"/>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Lbls>
            <c:delete val="1"/>
          </c:dLbls>
          <c:cat>
            <c:strRef>
              <c:f>[收入与支出决算图示.xlsx]Sheet1!$A$2:$A$6</c:f>
              <c:strCache>
                <c:ptCount val="5"/>
                <c:pt idx="0">
                  <c:v>基本支出</c:v>
                </c:pt>
                <c:pt idx="1">
                  <c:v>项目支出</c:v>
                </c:pt>
                <c:pt idx="2">
                  <c:v>上缴上级支出</c:v>
                </c:pt>
                <c:pt idx="3">
                  <c:v>经营支出</c:v>
                </c:pt>
                <c:pt idx="4">
                  <c:v>对附属单位补助支出</c:v>
                </c:pt>
              </c:strCache>
            </c:strRef>
          </c:cat>
          <c:val>
            <c:numRef>
              <c:f>[收入与支出决算图示.xlsx]Sheet1!$C$2:$C$6</c:f>
              <c:numCache>
                <c:formatCode>0.00%</c:formatCode>
                <c:ptCount val="5"/>
                <c:pt idx="0">
                  <c:v>0.7291</c:v>
                </c:pt>
                <c:pt idx="1">
                  <c:v>0.2709</c:v>
                </c:pt>
                <c:pt idx="2">
                  <c:v>0</c:v>
                </c:pt>
                <c:pt idx="3">
                  <c:v>0</c:v>
                </c:pt>
                <c:pt idx="4">
                  <c:v>0</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3432</Words>
  <Characters>5758</Characters>
  <Lines>44</Lines>
  <Paragraphs>12</Paragraphs>
  <ScaleCrop>false</ScaleCrop>
  <LinksUpToDate>false</LinksUpToDate>
  <CharactersWithSpaces>5779</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2017-07-12T15:16:00Z</dcterms:created>
  <dc:creator>常程</dc:creator>
  <cp:lastModifiedBy>lenovo</cp:lastModifiedBy>
  <cp:lastPrinted>2025-08-27T01:49:28Z</cp:lastPrinted>
  <dcterms:modified xsi:type="dcterms:W3CDTF">2025-08-27T02:01:08Z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